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FIELDWORK PLACEMENT FOR SOCIAL SERVICES I</w:t>
            </w:r>
            <w:r w:rsidR="00A05959" w:rsidRPr="0006107B">
              <w:rPr>
                <w:rFonts w:asciiTheme="minorHAnsi" w:hAnsiTheme="minorHAnsi"/>
              </w:rPr>
              <w:t>I</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CODE NO.</w:t>
            </w:r>
            <w:r w:rsidRPr="0006107B">
              <w:rPr>
                <w:rFonts w:asciiTheme="minorHAnsi" w:hAnsiTheme="minorHAnsi"/>
                <w:b/>
                <w:lang w:val="en-GB"/>
              </w:rPr>
              <w:t xml:space="preserve"> :</w:t>
            </w:r>
          </w:p>
          <w:p w:rsidR="00FC7F5D" w:rsidRPr="0006107B" w:rsidRDefault="00FC7F5D">
            <w:pPr>
              <w:rPr>
                <w:rFonts w:asciiTheme="minorHAnsi" w:hAnsiTheme="minorHAnsi"/>
                <w:b/>
              </w:rPr>
            </w:pPr>
          </w:p>
        </w:tc>
        <w:tc>
          <w:tcPr>
            <w:tcW w:w="3402" w:type="dxa"/>
            <w:gridSpan w:val="2"/>
          </w:tcPr>
          <w:p w:rsidR="00FC7F5D" w:rsidRPr="0006107B" w:rsidRDefault="00FC7F5D">
            <w:pPr>
              <w:rPr>
                <w:rFonts w:asciiTheme="minorHAnsi" w:hAnsiTheme="minorHAnsi"/>
              </w:rPr>
            </w:pPr>
            <w:r w:rsidRPr="0006107B">
              <w:rPr>
                <w:rFonts w:asciiTheme="minorHAnsi" w:hAnsiTheme="minorHAnsi"/>
              </w:rPr>
              <w:t>NSW 2</w:t>
            </w:r>
            <w:r w:rsidR="00A73A75" w:rsidRPr="0006107B">
              <w:rPr>
                <w:rFonts w:asciiTheme="minorHAnsi" w:hAnsiTheme="minorHAnsi"/>
              </w:rPr>
              <w:t>11</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1024EA">
            <w:pPr>
              <w:rPr>
                <w:rFonts w:asciiTheme="minorHAnsi" w:hAnsiTheme="minorHAnsi"/>
              </w:rPr>
            </w:pPr>
            <w:r w:rsidRPr="0006107B">
              <w:rPr>
                <w:rFonts w:asciiTheme="minorHAnsi" w:hAnsiTheme="minorHAnsi"/>
              </w:rPr>
              <w:t>FOUR</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SOCIAL SERVICES WORKER-NATIVE</w:t>
            </w:r>
            <w:r w:rsidR="003418CC">
              <w:rPr>
                <w:rFonts w:asciiTheme="minorHAnsi" w:hAnsiTheme="minorHAnsi"/>
              </w:rPr>
              <w:t xml:space="preserve"> SPECIALIZATION</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BE5DB2" w:rsidP="003418CC">
            <w:pPr>
              <w:rPr>
                <w:rFonts w:asciiTheme="minorHAnsi" w:hAnsiTheme="minorHAnsi"/>
              </w:rPr>
            </w:pPr>
            <w:smartTag w:uri="urn:schemas:contacts" w:element="GivenName">
              <w:r>
                <w:rPr>
                  <w:rFonts w:asciiTheme="minorHAnsi" w:hAnsiTheme="minorHAnsi"/>
                </w:rPr>
                <w:t>June</w:t>
              </w:r>
            </w:smartTag>
            <w:r w:rsidR="00A73A75" w:rsidRPr="0006107B">
              <w:rPr>
                <w:rFonts w:asciiTheme="minorHAnsi" w:hAnsiTheme="minorHAnsi"/>
              </w:rPr>
              <w:t>. ‘</w:t>
            </w:r>
            <w:r w:rsidR="003418CC">
              <w:rPr>
                <w:rFonts w:asciiTheme="minorHAnsi" w:hAnsiTheme="minorHAnsi"/>
              </w:rPr>
              <w:t>10</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73A75" w:rsidP="00BE5DB2">
            <w:pPr>
              <w:rPr>
                <w:rFonts w:asciiTheme="minorHAnsi" w:hAnsiTheme="minorHAnsi"/>
              </w:rPr>
            </w:pPr>
            <w:r w:rsidRPr="0006107B">
              <w:rPr>
                <w:rFonts w:asciiTheme="minorHAnsi" w:hAnsiTheme="minorHAnsi"/>
              </w:rPr>
              <w:t>Jan. ‘</w:t>
            </w:r>
            <w:r w:rsidR="00BE5DB2">
              <w:rPr>
                <w:rFonts w:asciiTheme="minorHAnsi" w:hAnsiTheme="minorHAnsi"/>
              </w:rPr>
              <w:t>10</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395CDB">
            <w:pPr>
              <w:jc w:val="center"/>
              <w:rPr>
                <w:rFonts w:asciiTheme="minorHAnsi" w:hAnsiTheme="minorHAnsi"/>
              </w:rPr>
            </w:pPr>
            <w:r>
              <w:rPr>
                <w:rFonts w:ascii="Arial" w:hAnsi="Arial" w:cs="Arial"/>
              </w:rPr>
              <w:t>“Angelique Lemay”</w:t>
            </w:r>
          </w:p>
        </w:tc>
        <w:tc>
          <w:tcPr>
            <w:tcW w:w="1800" w:type="dxa"/>
          </w:tcPr>
          <w:p w:rsidR="00FC7F5D" w:rsidRPr="0006107B" w:rsidRDefault="00395CDB">
            <w:pPr>
              <w:rPr>
                <w:rFonts w:asciiTheme="minorHAnsi" w:hAnsiTheme="minorHAnsi"/>
              </w:rPr>
            </w:pPr>
            <w:r>
              <w:rPr>
                <w:rFonts w:ascii="Arial" w:hAnsi="Arial" w:cs="Arial"/>
              </w:rPr>
              <w:t>Dec. 2010</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06107B" w:rsidRDefault="008B76EB">
            <w:pPr>
              <w:pStyle w:val="Heading2"/>
              <w:rPr>
                <w:rFonts w:asciiTheme="minorHAnsi" w:hAnsiTheme="minorHAnsi"/>
                <w:lang w:val="en-US"/>
              </w:rPr>
            </w:pPr>
            <w:r w:rsidRPr="0006107B">
              <w:rPr>
                <w:rFonts w:asciiTheme="minorHAnsi" w:hAnsiTheme="minorHAnsi"/>
                <w:lang w:val="en-US"/>
              </w:rPr>
              <w:t>CHAIR, COMMUNITY SERVICES</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A42B3E">
            <w:pPr>
              <w:rPr>
                <w:rFonts w:asciiTheme="minorHAnsi" w:hAnsiTheme="minorHAnsi"/>
              </w:rPr>
            </w:pPr>
            <w:r w:rsidRPr="0006107B">
              <w:rPr>
                <w:rFonts w:asciiTheme="minorHAnsi" w:hAnsiTheme="minorHAnsi"/>
              </w:rPr>
              <w:t>15</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Default="00B30384" w:rsidP="006C090C">
            <w:pPr>
              <w:rPr>
                <w:rFonts w:asciiTheme="minorHAnsi" w:hAnsiTheme="minorHAnsi"/>
              </w:rPr>
            </w:pPr>
            <w:r>
              <w:rPr>
                <w:rFonts w:asciiTheme="minorHAnsi" w:hAnsiTheme="minorHAnsi"/>
              </w:rPr>
              <w:t xml:space="preserve">NSW205 &amp; </w:t>
            </w:r>
            <w:r w:rsidR="002A408A" w:rsidRPr="0006107B">
              <w:rPr>
                <w:rFonts w:asciiTheme="minorHAnsi" w:hAnsiTheme="minorHAnsi"/>
              </w:rPr>
              <w:t>NSW20</w:t>
            </w:r>
            <w:r w:rsidR="0097757C" w:rsidRPr="0006107B">
              <w:rPr>
                <w:rFonts w:asciiTheme="minorHAnsi" w:hAnsiTheme="minorHAnsi"/>
              </w:rPr>
              <w:t xml:space="preserve">6  </w:t>
            </w:r>
          </w:p>
          <w:p w:rsidR="00FC7F5D" w:rsidRPr="0006107B" w:rsidRDefault="006C090C" w:rsidP="006C090C">
            <w:pPr>
              <w:rPr>
                <w:rFonts w:asciiTheme="minorHAnsi" w:hAnsiTheme="minorHAnsi"/>
              </w:rPr>
            </w:pPr>
            <w:r w:rsidRPr="0006107B">
              <w:rPr>
                <w:rFonts w:asciiTheme="minorHAnsi" w:hAnsiTheme="minorHAnsi"/>
              </w:rPr>
              <w:t xml:space="preserve">NSW 210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06107B" w:rsidRDefault="006C090C">
            <w:pPr>
              <w:rPr>
                <w:rFonts w:asciiTheme="minorHAnsi" w:hAnsiTheme="minorHAnsi"/>
              </w:rPr>
            </w:pPr>
            <w:r w:rsidRPr="0006107B">
              <w:rPr>
                <w:rFonts w:asciiTheme="minorHAnsi" w:hAnsiTheme="minorHAnsi"/>
              </w:rPr>
              <w:t>15 weeks</w:t>
            </w:r>
            <w:r>
              <w:rPr>
                <w:rFonts w:asciiTheme="minorHAnsi" w:hAnsiTheme="minorHAnsi"/>
              </w:rPr>
              <w:t xml:space="preserve"> (TOTAL OF 400 HOURS)</w:t>
            </w:r>
          </w:p>
        </w:tc>
        <w:tc>
          <w:tcPr>
            <w:tcW w:w="1800" w:type="dxa"/>
          </w:tcPr>
          <w:p w:rsidR="006C090C" w:rsidRPr="0006107B"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AC6659">
              <w:rPr>
                <w:rFonts w:asciiTheme="minorHAnsi" w:hAnsiTheme="minorHAnsi"/>
              </w:rPr>
              <w:t>1</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8"/>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 (SSW-N)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for two working days per week for a fourteen-week period.  During this time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lastRenderedPageBreak/>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proofErr w:type="gramStart"/>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roofErr w:type="gramEnd"/>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proofErr w:type="gramStart"/>
      <w:r w:rsidRPr="003E4287">
        <w:rPr>
          <w:rFonts w:asciiTheme="minorHAnsi" w:hAnsiTheme="minorHAnsi"/>
          <w:lang w:val="en-GB"/>
        </w:rPr>
        <w:t>Placement</w:t>
      </w:r>
      <w:r w:rsidR="00BB3A5B">
        <w:rPr>
          <w:rFonts w:asciiTheme="minorHAnsi" w:hAnsiTheme="minorHAnsi"/>
          <w:lang w:val="en-GB"/>
        </w:rPr>
        <w:t xml:space="preserve"> </w:t>
      </w:r>
      <w:r w:rsidRPr="003E4287">
        <w:rPr>
          <w:rFonts w:asciiTheme="minorHAnsi" w:hAnsiTheme="minorHAnsi"/>
          <w:lang w:val="en-GB"/>
        </w:rPr>
        <w:t xml:space="preserve"> Handbook</w:t>
      </w:r>
      <w:proofErr w:type="gramEnd"/>
      <w:r w:rsidRPr="003E4287">
        <w:rPr>
          <w:rFonts w:asciiTheme="minorHAnsi" w:hAnsiTheme="minorHAnsi"/>
          <w:lang w:val="en-GB"/>
        </w:rPr>
        <w:t>.</w:t>
      </w:r>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Does Not Meet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center" w:pos="4680"/>
              </w:tabs>
              <w:jc w:val="center"/>
              <w:rPr>
                <w:rFonts w:asciiTheme="minorHAnsi" w:hAnsiTheme="minorHAnsi" w:cs="Arial"/>
                <w:lang w:val="en-GB"/>
              </w:rPr>
            </w:pPr>
            <w:r w:rsidRPr="003E4287">
              <w:rPr>
                <w:rFonts w:asciiTheme="minorHAnsi" w:hAnsiTheme="minorHAnsi" w:cs="Arial"/>
                <w:b/>
                <w:lang w:val="en-GB"/>
              </w:rPr>
              <w:t>Meets Minimal Expectations, Significant Improvement Required</w:t>
            </w: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Satisfactorily Meets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Exceeds Expectations</w:t>
            </w:r>
          </w:p>
          <w:p w:rsidR="0090536B" w:rsidRPr="003E4287"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3E4287" w:rsidRDefault="0090536B" w:rsidP="002001BE">
            <w:pPr>
              <w:tabs>
                <w:tab w:val="left" w:pos="-1440"/>
              </w:tabs>
              <w:rPr>
                <w:rFonts w:asciiTheme="minorHAnsi" w:hAnsiTheme="minorHAnsi" w:cs="Arial"/>
                <w:lang w:val="en-GB"/>
              </w:rPr>
            </w:pPr>
            <w:r w:rsidRPr="003E4287">
              <w:rPr>
                <w:rFonts w:asciiTheme="minorHAnsi" w:hAnsiTheme="minorHAnsi" w:cs="Arial"/>
                <w:lang w:val="en-GB"/>
              </w:rPr>
              <w:t>The student has not demonstrated the required skill in this area.   Considerable improvement is required in order to achieve an acceptable level.</w:t>
            </w:r>
          </w:p>
          <w:p w:rsidR="0090536B" w:rsidRPr="003E4287" w:rsidRDefault="0090536B" w:rsidP="002001BE">
            <w:pPr>
              <w:tabs>
                <w:tab w:val="left" w:pos="-1440"/>
              </w:tabs>
              <w:ind w:left="720"/>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3E4287" w:rsidRDefault="0090536B" w:rsidP="002001BE">
            <w:pPr>
              <w:tabs>
                <w:tab w:val="left" w:pos="-1440"/>
              </w:tabs>
              <w:ind w:left="720"/>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Default="0090536B" w:rsidP="002804B2">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w:t>
            </w:r>
            <w:r w:rsidR="002804B2">
              <w:rPr>
                <w:rFonts w:asciiTheme="minorHAnsi" w:hAnsiTheme="minorHAnsi" w:cs="Arial"/>
                <w:lang w:val="en-GB"/>
              </w:rPr>
              <w:t>s skill area on a regular basis and have satisfactorily met the learning objective.</w:t>
            </w:r>
          </w:p>
          <w:p w:rsidR="002804B2" w:rsidRPr="003E4287"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3E4287"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 xml:space="preserve">Throughout the semester, students, supervisors and the fieldwork faculty will evaluate the student's performance of Learning Outcomes.   </w:t>
      </w:r>
      <w:r w:rsidR="00C4327E" w:rsidRPr="003E4287">
        <w:rPr>
          <w:rFonts w:asciiTheme="minorHAnsi" w:hAnsiTheme="minorHAnsi"/>
          <w:lang w:val="en-GB"/>
        </w:rPr>
        <w:t xml:space="preserve">A formal assessment will occur at Midterm and Final Evaluation will be completed prior to the last day of placement.  </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 xml:space="preserve">Students should come prepared to the mid-term and final evaluation meetings with a personal evaluation of their level of achievement for the Learning Outcomes using the format below.  </w:t>
      </w:r>
      <w:r w:rsidRPr="003E4287">
        <w:rPr>
          <w:rFonts w:asciiTheme="minorHAnsi" w:hAnsiTheme="minorHAnsi"/>
          <w:lang w:val="en-GB"/>
        </w:rPr>
        <w:lastRenderedPageBreak/>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tbl>
      <w:tblPr>
        <w:tblW w:w="0" w:type="auto"/>
        <w:tblLayout w:type="fixed"/>
        <w:tblLook w:val="000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Pr="003E4287" w:rsidRDefault="00FC7F5D"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Pr="003E4287">
              <w:rPr>
                <w:rFonts w:asciiTheme="minorHAnsi" w:hAnsiTheme="minorHAnsi"/>
                <w:b/>
                <w:lang w:val="en-GB"/>
              </w:rPr>
              <w:t>400 hours</w:t>
            </w:r>
            <w:r w:rsidRPr="003E4287">
              <w:rPr>
                <w:rFonts w:asciiTheme="minorHAnsi" w:hAnsiTheme="minorHAnsi"/>
                <w:lang w:val="en-GB"/>
              </w:rPr>
              <w:t xml:space="preserve"> of fieldwork placement during the semester in order to successfully complete their placement.  This </w:t>
            </w:r>
            <w:r>
              <w:rPr>
                <w:rFonts w:asciiTheme="minorHAnsi" w:hAnsiTheme="minorHAnsi"/>
                <w:lang w:val="en-GB"/>
              </w:rPr>
              <w:t xml:space="preserve">typically is completed over four days a week </w:t>
            </w:r>
            <w:r w:rsidR="000A67A1">
              <w:rPr>
                <w:rFonts w:asciiTheme="minorHAnsi" w:hAnsiTheme="minorHAnsi"/>
                <w:lang w:val="en-GB"/>
              </w:rPr>
              <w:t>during a seven hour shift</w:t>
            </w:r>
            <w:r w:rsidRPr="003E4287">
              <w:rPr>
                <w:rFonts w:asciiTheme="minorHAnsi" w:hAnsiTheme="minorHAnsi"/>
                <w:lang w:val="en-GB"/>
              </w:rPr>
              <w:t xml:space="preserve"> </w:t>
            </w:r>
            <w:r>
              <w:rPr>
                <w:rFonts w:asciiTheme="minorHAnsi" w:hAnsiTheme="minorHAnsi"/>
                <w:lang w:val="en-GB"/>
              </w:rPr>
              <w:t>f</w:t>
            </w:r>
            <w:r w:rsidRPr="003E4287">
              <w:rPr>
                <w:rFonts w:asciiTheme="minorHAnsi" w:hAnsiTheme="minorHAnsi"/>
                <w:lang w:val="en-GB"/>
              </w:rPr>
              <w:t>or a 1</w:t>
            </w:r>
            <w:r>
              <w:rPr>
                <w:rFonts w:asciiTheme="minorHAnsi" w:hAnsiTheme="minorHAnsi"/>
                <w:lang w:val="en-GB"/>
              </w:rPr>
              <w:t>5</w:t>
            </w:r>
            <w:r w:rsidRPr="003E4287">
              <w:rPr>
                <w:rFonts w:asciiTheme="minorHAnsi" w:hAnsiTheme="minorHAnsi"/>
                <w:lang w:val="en-GB"/>
              </w:rPr>
              <w:t xml:space="preserve"> week period. </w:t>
            </w:r>
            <w:r>
              <w:rPr>
                <w:rFonts w:asciiTheme="minorHAnsi" w:hAnsiTheme="minorHAnsi"/>
                <w:lang w:val="en-GB"/>
              </w:rPr>
              <w:t xml:space="preserve"> 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400 hours by the end of the semester.  </w:t>
            </w:r>
            <w:r w:rsidRPr="003E4287">
              <w:rPr>
                <w:rFonts w:asciiTheme="minorHAnsi" w:hAnsiTheme="minorHAnsi"/>
                <w:lang w:val="en-GB"/>
              </w:rPr>
              <w:t xml:space="preserve">Students are responsible for recording their monthly placement hours and have them signed by their placement supervisors.  Monthly timesheets must be submitted in seminar class within one week of the end of month.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tblPr>
      <w:tblGrid>
        <w:gridCol w:w="675"/>
        <w:gridCol w:w="8181"/>
      </w:tblGrid>
      <w:tr w:rsidR="00AC6659" w:rsidRPr="001F503D" w:rsidTr="005E5E23">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5E5E23">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5E5E23">
            <w:pPr>
              <w:rPr>
                <w:rFonts w:ascii="Arial" w:hAnsi="Arial"/>
                <w:b/>
              </w:rPr>
            </w:pPr>
          </w:p>
        </w:tc>
      </w:tr>
      <w:tr w:rsidR="00AC6659" w:rsidRPr="001F503D" w:rsidTr="005E5E23">
        <w:trPr>
          <w:cantSplit/>
        </w:trPr>
        <w:tc>
          <w:tcPr>
            <w:tcW w:w="675" w:type="dxa"/>
          </w:tcPr>
          <w:p w:rsidR="00AC6659" w:rsidRDefault="00AC6659" w:rsidP="005E5E23">
            <w:pPr>
              <w:rPr>
                <w:rFonts w:ascii="Arial" w:hAnsi="Arial"/>
              </w:rPr>
            </w:pPr>
          </w:p>
        </w:tc>
        <w:tc>
          <w:tcPr>
            <w:tcW w:w="8181" w:type="dxa"/>
          </w:tcPr>
          <w:p w:rsidR="00AC6659" w:rsidRPr="001F503D" w:rsidRDefault="00AC6659" w:rsidP="005E5E23">
            <w:pPr>
              <w:rPr>
                <w:rFonts w:ascii="Arial" w:hAnsi="Arial"/>
              </w:rPr>
            </w:pPr>
            <w:r>
              <w:rPr>
                <w:rFonts w:ascii="Arial" w:hAnsi="Arial"/>
              </w:rPr>
              <w:t>The provisions contained in the addendum located on the portal form part of this course outline.</w:t>
            </w:r>
          </w:p>
        </w:tc>
      </w:tr>
    </w:tbl>
    <w:p w:rsidR="00FC7F5D" w:rsidRPr="00D67039" w:rsidRDefault="00FC7F5D">
      <w:pPr>
        <w:rPr>
          <w:rFonts w:asciiTheme="minorHAnsi" w:hAnsiTheme="minorHAnsi"/>
        </w:rPr>
      </w:pPr>
    </w:p>
    <w:sectPr w:rsidR="00FC7F5D" w:rsidRPr="00D67039" w:rsidSect="0031680A">
      <w:headerReference w:type="default" r:id="rId9"/>
      <w:pgSz w:w="12240" w:h="15840"/>
      <w:pgMar w:top="1440" w:right="1440" w:bottom="72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36F" w:rsidRDefault="00B5136F">
      <w:r>
        <w:separator/>
      </w:r>
    </w:p>
  </w:endnote>
  <w:endnote w:type="continuationSeparator" w:id="0">
    <w:p w:rsidR="00B5136F" w:rsidRDefault="00B51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36F" w:rsidRDefault="00B5136F">
      <w:r>
        <w:separator/>
      </w:r>
    </w:p>
  </w:footnote>
  <w:footnote w:type="continuationSeparator" w:id="0">
    <w:p w:rsidR="00B5136F" w:rsidRDefault="00B51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6F" w:rsidRDefault="00395E4B">
    <w:pPr>
      <w:pStyle w:val="Header"/>
      <w:framePr w:wrap="around" w:vAnchor="text" w:hAnchor="margin" w:xAlign="center" w:y="1"/>
      <w:rPr>
        <w:rStyle w:val="PageNumber"/>
      </w:rPr>
    </w:pPr>
    <w:r>
      <w:rPr>
        <w:rStyle w:val="PageNumber"/>
      </w:rPr>
      <w:fldChar w:fldCharType="begin"/>
    </w:r>
    <w:r w:rsidR="00B5136F">
      <w:rPr>
        <w:rStyle w:val="PageNumber"/>
      </w:rPr>
      <w:instrText xml:space="preserve">PAGE  </w:instrText>
    </w:r>
    <w:r>
      <w:rPr>
        <w:rStyle w:val="PageNumber"/>
      </w:rPr>
      <w:fldChar w:fldCharType="separate"/>
    </w:r>
    <w:r w:rsidR="00B5136F">
      <w:rPr>
        <w:rStyle w:val="PageNumber"/>
        <w:noProof/>
      </w:rPr>
      <w:t>8</w:t>
    </w:r>
    <w:r>
      <w:rPr>
        <w:rStyle w:val="PageNumber"/>
      </w:rPr>
      <w:fldChar w:fldCharType="end"/>
    </w:r>
  </w:p>
  <w:p w:rsidR="00B5136F" w:rsidRDefault="00B513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6F" w:rsidRPr="00373EC6" w:rsidRDefault="00395E4B">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B5136F"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395CDB">
      <w:rPr>
        <w:rStyle w:val="PageNumber"/>
        <w:rFonts w:asciiTheme="minorHAnsi" w:hAnsiTheme="minorHAnsi"/>
        <w:noProof/>
      </w:rPr>
      <w:t>9</w:t>
    </w:r>
    <w:r w:rsidRPr="00373EC6">
      <w:rPr>
        <w:rStyle w:val="PageNumber"/>
        <w:rFonts w:asciiTheme="minorHAnsi" w:hAnsiTheme="minorHAnsi"/>
      </w:rPr>
      <w:fldChar w:fldCharType="end"/>
    </w:r>
  </w:p>
  <w:p w:rsidR="00B5136F" w:rsidRPr="00373EC6" w:rsidRDefault="00B5136F">
    <w:pPr>
      <w:pStyle w:val="Header"/>
      <w:tabs>
        <w:tab w:val="clear" w:pos="8640"/>
        <w:tab w:val="right" w:pos="9180"/>
      </w:tabs>
      <w:rPr>
        <w:rFonts w:asciiTheme="minorHAnsi" w:hAnsiTheme="minorHAnsi"/>
        <w:b/>
        <w:bCs/>
      </w:rPr>
    </w:pPr>
    <w:r w:rsidRPr="00373EC6">
      <w:rPr>
        <w:rFonts w:asciiTheme="minorHAnsi" w:hAnsiTheme="minorHAnsi"/>
        <w:b/>
        <w:bCs/>
      </w:rPr>
      <w:t>Field Placement For Social Services II</w:t>
    </w:r>
    <w:r w:rsidRPr="00373EC6">
      <w:rPr>
        <w:rFonts w:asciiTheme="minorHAnsi" w:hAnsiTheme="minorHAnsi"/>
        <w:b/>
        <w:bCs/>
      </w:rPr>
      <w:tab/>
    </w:r>
    <w:r w:rsidRPr="00373EC6">
      <w:rPr>
        <w:rFonts w:asciiTheme="minorHAnsi" w:hAnsiTheme="minorHAnsi"/>
        <w:b/>
        <w:bCs/>
      </w:rPr>
      <w:tab/>
      <w:t>NSW 211</w:t>
    </w:r>
  </w:p>
  <w:p w:rsidR="00B5136F" w:rsidRPr="00373EC6" w:rsidRDefault="00B5136F">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B5136F" w:rsidRDefault="00B5136F">
    <w:pPr>
      <w:pStyle w:val="Header"/>
      <w:pBdr>
        <w:top w:val="single" w:sz="4" w:space="1" w:color="auto"/>
      </w:pBd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C1896"/>
    <w:rsid w:val="00017EE9"/>
    <w:rsid w:val="0006107B"/>
    <w:rsid w:val="000A67A1"/>
    <w:rsid w:val="000C1896"/>
    <w:rsid w:val="001024EA"/>
    <w:rsid w:val="001507A7"/>
    <w:rsid w:val="00155854"/>
    <w:rsid w:val="00173585"/>
    <w:rsid w:val="001758DC"/>
    <w:rsid w:val="00180A3B"/>
    <w:rsid w:val="00186A0F"/>
    <w:rsid w:val="00195ECE"/>
    <w:rsid w:val="001A1764"/>
    <w:rsid w:val="001A66BB"/>
    <w:rsid w:val="001F7BBE"/>
    <w:rsid w:val="002001BE"/>
    <w:rsid w:val="00225C3B"/>
    <w:rsid w:val="00242990"/>
    <w:rsid w:val="002804B2"/>
    <w:rsid w:val="00290BC7"/>
    <w:rsid w:val="002A408A"/>
    <w:rsid w:val="002B5425"/>
    <w:rsid w:val="002D5C72"/>
    <w:rsid w:val="002E4857"/>
    <w:rsid w:val="0031680A"/>
    <w:rsid w:val="003352BC"/>
    <w:rsid w:val="003418CC"/>
    <w:rsid w:val="00373EC6"/>
    <w:rsid w:val="00391B88"/>
    <w:rsid w:val="00395CDB"/>
    <w:rsid w:val="00395E4B"/>
    <w:rsid w:val="003C655F"/>
    <w:rsid w:val="003E4287"/>
    <w:rsid w:val="00487A79"/>
    <w:rsid w:val="0049460F"/>
    <w:rsid w:val="00516F6E"/>
    <w:rsid w:val="005B385F"/>
    <w:rsid w:val="005C1E90"/>
    <w:rsid w:val="005C2015"/>
    <w:rsid w:val="005F29B9"/>
    <w:rsid w:val="006435B3"/>
    <w:rsid w:val="00675A83"/>
    <w:rsid w:val="006823A9"/>
    <w:rsid w:val="006C090C"/>
    <w:rsid w:val="006F06EC"/>
    <w:rsid w:val="007544BD"/>
    <w:rsid w:val="00795710"/>
    <w:rsid w:val="00820F98"/>
    <w:rsid w:val="00891D4A"/>
    <w:rsid w:val="008B76EB"/>
    <w:rsid w:val="008F0F6C"/>
    <w:rsid w:val="00900002"/>
    <w:rsid w:val="0090536B"/>
    <w:rsid w:val="00914410"/>
    <w:rsid w:val="0092430C"/>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8034E"/>
    <w:rsid w:val="00B95418"/>
    <w:rsid w:val="00BB190A"/>
    <w:rsid w:val="00BB3A5B"/>
    <w:rsid w:val="00BD453A"/>
    <w:rsid w:val="00BD691D"/>
    <w:rsid w:val="00BE5DB2"/>
    <w:rsid w:val="00C21667"/>
    <w:rsid w:val="00C4327E"/>
    <w:rsid w:val="00C65C4A"/>
    <w:rsid w:val="00CE1F6B"/>
    <w:rsid w:val="00D23D8E"/>
    <w:rsid w:val="00D27A9F"/>
    <w:rsid w:val="00D357A0"/>
    <w:rsid w:val="00D54D97"/>
    <w:rsid w:val="00D67039"/>
    <w:rsid w:val="00D67D3F"/>
    <w:rsid w:val="00D74B52"/>
    <w:rsid w:val="00E14293"/>
    <w:rsid w:val="00EE4E2F"/>
    <w:rsid w:val="00EE5899"/>
    <w:rsid w:val="00F054FF"/>
    <w:rsid w:val="00F73125"/>
    <w:rsid w:val="00FC7F5D"/>
    <w:rsid w:val="00FD59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r="http://schemas.openxmlformats.org/officeDocument/2006/relationships" xmlns:w="http://schemas.openxmlformats.org/wordprocessingml/2006/main">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D1886-940F-4D0A-9186-944E442A3B40}"/>
</file>

<file path=customXml/itemProps2.xml><?xml version="1.0" encoding="utf-8"?>
<ds:datastoreItem xmlns:ds="http://schemas.openxmlformats.org/officeDocument/2006/customXml" ds:itemID="{21B1399F-02C8-4A6E-9C3A-5330BDA66987}"/>
</file>

<file path=customXml/itemProps3.xml><?xml version="1.0" encoding="utf-8"?>
<ds:datastoreItem xmlns:ds="http://schemas.openxmlformats.org/officeDocument/2006/customXml" ds:itemID="{06F76227-2031-4140-A5B8-81DCD50AB189}"/>
</file>

<file path=docProps/app.xml><?xml version="1.0" encoding="utf-8"?>
<Properties xmlns="http://schemas.openxmlformats.org/officeDocument/2006/extended-properties" xmlns:vt="http://schemas.openxmlformats.org/officeDocument/2006/docPropsVTypes">
  <Template>Normal.dotm</Template>
  <TotalTime>19</TotalTime>
  <Pages>9</Pages>
  <Words>2304</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6</cp:revision>
  <cp:lastPrinted>2010-12-13T16:27:00Z</cp:lastPrinted>
  <dcterms:created xsi:type="dcterms:W3CDTF">2010-05-31T01:24:00Z</dcterms:created>
  <dcterms:modified xsi:type="dcterms:W3CDTF">2011-01-03T16:12:00Z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10986800</vt:r8>
  </property>
</Properties>
</file>